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We want you to know when you may incur a fee for the administration of the Facility.</w:t>
      </w:r>
    </w:p>
    <w:p w:rsidR="00000000" w:rsidDel="00000000" w:rsidP="00000000" w:rsidRDefault="00000000" w:rsidRPr="00000000" w14:paraId="00000002">
      <w:pPr>
        <w:jc w:val="both"/>
        <w:rPr/>
      </w:pPr>
      <w:r w:rsidDel="00000000" w:rsidR="00000000" w:rsidRPr="00000000">
        <w:rPr>
          <w:rtl w:val="0"/>
        </w:rPr>
        <w:t xml:space="preserve">These are the most common charges you may have to pay in relation to the administration of your Facility. If you require a service not listed below, there may be a charge payable. You may also be required to pay fees to third parties.  We review our fees annually to ensure they reflect changes in our operating costs and business processes. All fees are exclusive of VAT unless otherwise stated.</w:t>
      </w:r>
    </w:p>
    <w:p w:rsidR="00000000" w:rsidDel="00000000" w:rsidP="00000000" w:rsidRDefault="00000000" w:rsidRPr="00000000" w14:paraId="00000003">
      <w:pPr>
        <w:rPr>
          <w:b w:val="1"/>
          <w:bCs w:val="1"/>
        </w:rPr>
      </w:pPr>
      <w:r w:rsidDel="00000000" w:rsidR="00000000" w:rsidRPr="00000000">
        <w:rPr>
          <w:b w:val="1"/>
          <w:bCs w:val="1"/>
          <w:rtl w:val="0"/>
        </w:rPr>
        <w:t xml:space="preserve">Fees payable during the Facility Term</w:t>
      </w:r>
    </w:p>
    <w:tbl>
      <w:tblPr>
        <w:tblStyle w:val="Table1"/>
        <w:tblW w:w="9071.0" w:type="dxa"/>
        <w:jc w:val="left"/>
        <w:tblLayout w:type="fixed"/>
        <w:tblLook w:val="0400"/>
      </w:tblPr>
      <w:tblGrid>
        <w:gridCol w:w="7366"/>
        <w:gridCol w:w="1705"/>
        <w:tblGridChange w:id="0">
          <w:tblGrid>
            <w:gridCol w:w="7366"/>
            <w:gridCol w:w="170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4">
            <w:pPr>
              <w:numPr>
                <w:ilvl w:val="0"/>
                <w:numId w:val="1"/>
              </w:numPr>
              <w:spacing w:after="120" w:before="120" w:line="240" w:lineRule="auto"/>
              <w:ind w:left="720" w:hanging="360"/>
              <w:rPr/>
            </w:pPr>
            <w:r w:rsidDel="00000000" w:rsidR="00000000" w:rsidRPr="00000000">
              <w:rPr>
                <w:rtl w:val="0"/>
              </w:rPr>
              <w:t xml:space="preserve">CHAPS Fee (Telegraphic Transfer of Money) on each and every occasion that we transfer monies directly to you, your solicitor or advisors, or solicitors bank account or an over payment made by you in connection with the Facility.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5">
            <w:pPr>
              <w:spacing w:after="120" w:before="120" w:line="240" w:lineRule="auto"/>
              <w:jc w:val="center"/>
              <w:rPr/>
            </w:pPr>
            <w:r w:rsidDel="00000000" w:rsidR="00000000" w:rsidRPr="00000000">
              <w:rPr>
                <w:rtl w:val="0"/>
              </w:rPr>
              <w:t xml:space="preserve">£36</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6">
            <w:pPr>
              <w:numPr>
                <w:ilvl w:val="0"/>
                <w:numId w:val="1"/>
              </w:numPr>
              <w:spacing w:after="120" w:before="120" w:line="240" w:lineRule="auto"/>
              <w:ind w:left="720" w:hanging="360"/>
              <w:rPr/>
            </w:pPr>
            <w:r w:rsidDel="00000000" w:rsidR="00000000" w:rsidRPr="00000000">
              <w:rPr>
                <w:rtl w:val="0"/>
              </w:rPr>
              <w:t xml:space="preserve">Insurance Premium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7">
            <w:pPr>
              <w:spacing w:after="120" w:before="120" w:line="240" w:lineRule="auto"/>
              <w:jc w:val="center"/>
              <w:rPr/>
            </w:pPr>
            <w:r w:rsidDel="00000000" w:rsidR="00000000" w:rsidRPr="00000000">
              <w:rPr>
                <w:rtl w:val="0"/>
              </w:rPr>
              <w:t xml:space="preserve">At cost</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8">
            <w:pPr>
              <w:numPr>
                <w:ilvl w:val="0"/>
                <w:numId w:val="1"/>
              </w:numPr>
              <w:spacing w:after="120" w:before="120" w:line="240" w:lineRule="auto"/>
              <w:ind w:left="720" w:hanging="360"/>
              <w:rPr/>
            </w:pPr>
            <w:r w:rsidDel="00000000" w:rsidR="00000000" w:rsidRPr="00000000">
              <w:rPr>
                <w:rtl w:val="0"/>
              </w:rPr>
              <w:t xml:space="preserve">Request for a hard copy of the valuation report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9">
            <w:pPr>
              <w:spacing w:after="120" w:before="120" w:line="240" w:lineRule="auto"/>
              <w:jc w:val="center"/>
              <w:rPr/>
            </w:pPr>
            <w:r w:rsidDel="00000000" w:rsidR="00000000" w:rsidRPr="00000000">
              <w:rPr>
                <w:rtl w:val="0"/>
              </w:rPr>
              <w:t xml:space="preserve">£25</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A">
            <w:pPr>
              <w:numPr>
                <w:ilvl w:val="0"/>
                <w:numId w:val="1"/>
              </w:numPr>
              <w:spacing w:after="120" w:before="120" w:line="240" w:lineRule="auto"/>
              <w:ind w:left="720" w:hanging="360"/>
              <w:rPr/>
            </w:pPr>
            <w:r w:rsidDel="00000000" w:rsidR="00000000" w:rsidRPr="00000000">
              <w:rPr>
                <w:rtl w:val="0"/>
              </w:rPr>
              <w:t xml:space="preserve">Duplicate Breakdown of Account or Redemption Statements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B">
            <w:pPr>
              <w:spacing w:after="120" w:before="120" w:line="240" w:lineRule="auto"/>
              <w:jc w:val="center"/>
              <w:rPr/>
            </w:pPr>
            <w:r w:rsidDel="00000000" w:rsidR="00000000" w:rsidRPr="00000000">
              <w:rPr>
                <w:rtl w:val="0"/>
              </w:rPr>
              <w:t xml:space="preserve">£35</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C">
            <w:pPr>
              <w:numPr>
                <w:ilvl w:val="0"/>
                <w:numId w:val="1"/>
              </w:numPr>
              <w:spacing w:after="120" w:before="120" w:line="240" w:lineRule="auto"/>
              <w:ind w:left="720" w:hanging="360"/>
              <w:rPr/>
            </w:pPr>
            <w:r w:rsidDel="00000000" w:rsidR="00000000" w:rsidRPr="00000000">
              <w:rPr>
                <w:rtl w:val="0"/>
              </w:rPr>
              <w:t xml:space="preserve">Request for additional redemption statements and copies of statements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D">
            <w:pPr>
              <w:spacing w:after="120" w:before="120" w:line="240" w:lineRule="auto"/>
              <w:jc w:val="center"/>
              <w:rPr/>
            </w:pPr>
            <w:r w:rsidDel="00000000" w:rsidR="00000000" w:rsidRPr="00000000">
              <w:rPr>
                <w:rtl w:val="0"/>
              </w:rPr>
              <w:t xml:space="preserve">£30</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E">
            <w:pPr>
              <w:numPr>
                <w:ilvl w:val="0"/>
                <w:numId w:val="1"/>
              </w:numPr>
              <w:spacing w:after="120" w:before="120" w:line="240" w:lineRule="auto"/>
              <w:ind w:left="720" w:hanging="360"/>
              <w:rPr/>
            </w:pPr>
            <w:r w:rsidDel="00000000" w:rsidR="00000000" w:rsidRPr="00000000">
              <w:rPr>
                <w:rtl w:val="0"/>
              </w:rPr>
              <w:t xml:space="preserve">Approval of Tenancy Fee (excluding legal costs)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F">
            <w:pPr>
              <w:spacing w:after="120" w:before="120" w:line="240" w:lineRule="auto"/>
              <w:jc w:val="center"/>
              <w:rPr/>
            </w:pPr>
            <w:r w:rsidDel="00000000" w:rsidR="00000000" w:rsidRPr="00000000">
              <w:rPr>
                <w:rtl w:val="0"/>
              </w:rPr>
              <w:t xml:space="preserve">£125</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0">
            <w:pPr>
              <w:numPr>
                <w:ilvl w:val="0"/>
                <w:numId w:val="1"/>
              </w:numPr>
              <w:spacing w:after="120" w:before="120" w:line="240" w:lineRule="auto"/>
              <w:ind w:left="720" w:hanging="360"/>
              <w:rPr/>
            </w:pPr>
            <w:r w:rsidDel="00000000" w:rsidR="00000000" w:rsidRPr="00000000">
              <w:rPr>
                <w:rtl w:val="0"/>
              </w:rPr>
              <w:t xml:space="preserve">Unpaid Ground Rent and Service Charges (Excluding legal costs)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1">
            <w:pPr>
              <w:spacing w:after="120" w:before="120" w:line="240" w:lineRule="auto"/>
              <w:jc w:val="center"/>
              <w:rPr/>
            </w:pPr>
            <w:r w:rsidDel="00000000" w:rsidR="00000000" w:rsidRPr="00000000">
              <w:rPr>
                <w:rtl w:val="0"/>
              </w:rPr>
              <w:t xml:space="preserve">£125</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2">
            <w:pPr>
              <w:numPr>
                <w:ilvl w:val="0"/>
                <w:numId w:val="1"/>
              </w:numPr>
              <w:spacing w:after="120" w:before="120" w:line="240" w:lineRule="auto"/>
              <w:ind w:left="720" w:hanging="360"/>
              <w:rPr/>
            </w:pPr>
            <w:r w:rsidDel="00000000" w:rsidR="00000000" w:rsidRPr="00000000">
              <w:rPr>
                <w:rtl w:val="0"/>
              </w:rPr>
              <w:t xml:space="preserve">Completing Questionnaires or references sent by other lenders granting another mortgage (including 2nd charges or waivers)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3">
            <w:pPr>
              <w:spacing w:after="120" w:before="120" w:line="240" w:lineRule="auto"/>
              <w:jc w:val="center"/>
              <w:rPr/>
            </w:pPr>
            <w:r w:rsidDel="00000000" w:rsidR="00000000" w:rsidRPr="00000000">
              <w:rPr>
                <w:rtl w:val="0"/>
              </w:rPr>
              <w:t xml:space="preserve">£75</w:t>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4">
            <w:pPr>
              <w:numPr>
                <w:ilvl w:val="0"/>
                <w:numId w:val="1"/>
              </w:numPr>
              <w:spacing w:after="120" w:before="120" w:line="240" w:lineRule="auto"/>
              <w:ind w:left="720" w:hanging="360"/>
              <w:rPr/>
            </w:pPr>
            <w:r w:rsidDel="00000000" w:rsidR="00000000" w:rsidRPr="00000000">
              <w:rPr>
                <w:rtl w:val="0"/>
              </w:rPr>
              <w:t xml:space="preserve">Varying the Facility amount borrowed under the terms and conditions of this Facility Agreement.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5">
            <w:pPr>
              <w:spacing w:after="120" w:before="120" w:line="240" w:lineRule="auto"/>
              <w:jc w:val="center"/>
              <w:rPr/>
            </w:pPr>
            <w:r w:rsidDel="00000000" w:rsidR="00000000" w:rsidRPr="00000000">
              <w:rPr>
                <w:rtl w:val="0"/>
              </w:rPr>
              <w:t xml:space="preserve">£50</w:t>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6">
            <w:pPr>
              <w:numPr>
                <w:ilvl w:val="0"/>
                <w:numId w:val="1"/>
              </w:numPr>
              <w:spacing w:after="120" w:before="120" w:line="240" w:lineRule="auto"/>
              <w:ind w:left="720" w:hanging="360"/>
              <w:rPr/>
            </w:pPr>
            <w:r w:rsidDel="00000000" w:rsidR="00000000" w:rsidRPr="00000000">
              <w:rPr>
                <w:rtl w:val="0"/>
              </w:rPr>
              <w:t xml:space="preserve">Attendance visit by Field Agent.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7">
            <w:pPr>
              <w:spacing w:after="120" w:before="120" w:line="240" w:lineRule="auto"/>
              <w:jc w:val="center"/>
              <w:rPr/>
            </w:pPr>
            <w:r w:rsidDel="00000000" w:rsidR="00000000" w:rsidRPr="00000000">
              <w:rPr>
                <w:rtl w:val="0"/>
              </w:rPr>
              <w:t xml:space="preserve">£99.75</w:t>
            </w:r>
          </w:p>
          <w:p w:rsidR="00000000" w:rsidDel="00000000" w:rsidP="00000000" w:rsidRDefault="00000000" w:rsidRPr="00000000" w14:paraId="00000018">
            <w:pPr>
              <w:spacing w:after="120" w:before="120" w:line="240" w:lineRule="auto"/>
              <w:jc w:val="center"/>
              <w:rPr/>
            </w:pPr>
            <w:r w:rsidDel="00000000" w:rsidR="00000000" w:rsidRPr="00000000">
              <w:rPr>
                <w:rtl w:val="0"/>
              </w:rPr>
              <w:t xml:space="preserve">Plus VAT</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9">
            <w:pPr>
              <w:numPr>
                <w:ilvl w:val="0"/>
                <w:numId w:val="1"/>
              </w:numPr>
              <w:spacing w:after="120" w:before="120" w:line="240" w:lineRule="auto"/>
              <w:ind w:left="720" w:hanging="360"/>
              <w:rPr/>
            </w:pPr>
            <w:r w:rsidDel="00000000" w:rsidR="00000000" w:rsidRPr="00000000">
              <w:rPr>
                <w:rtl w:val="0"/>
              </w:rPr>
              <w:t xml:space="preserve">Field agent visit with regard to an extension of the maturity date or increased Facility amount.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A">
            <w:pPr>
              <w:spacing w:after="120" w:before="120" w:line="240" w:lineRule="auto"/>
              <w:jc w:val="center"/>
              <w:rPr/>
            </w:pPr>
            <w:r w:rsidDel="00000000" w:rsidR="00000000" w:rsidRPr="00000000">
              <w:rPr>
                <w:rtl w:val="0"/>
              </w:rPr>
              <w:t xml:space="preserve">£145</w:t>
            </w:r>
          </w:p>
          <w:p w:rsidR="00000000" w:rsidDel="00000000" w:rsidP="00000000" w:rsidRDefault="00000000" w:rsidRPr="00000000" w14:paraId="0000001B">
            <w:pPr>
              <w:spacing w:after="120" w:before="120" w:line="240" w:lineRule="auto"/>
              <w:jc w:val="center"/>
              <w:rPr/>
            </w:pPr>
            <w:r w:rsidDel="00000000" w:rsidR="00000000" w:rsidRPr="00000000">
              <w:rPr>
                <w:rtl w:val="0"/>
              </w:rPr>
              <w:t xml:space="preserve">Plus VAT</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C">
            <w:pPr>
              <w:numPr>
                <w:ilvl w:val="0"/>
                <w:numId w:val="1"/>
              </w:numPr>
              <w:spacing w:after="120" w:before="120" w:line="240" w:lineRule="auto"/>
              <w:ind w:left="743" w:hanging="357"/>
              <w:rPr/>
            </w:pPr>
            <w:r w:rsidDel="00000000" w:rsidR="00000000" w:rsidRPr="00000000">
              <w:rPr>
                <w:rtl w:val="0"/>
              </w:rPr>
              <w:t xml:space="preserve">Annual Insurance Fee      </w:t>
            </w:r>
          </w:p>
          <w:p w:rsidR="00000000" w:rsidDel="00000000" w:rsidP="00000000" w:rsidRDefault="00000000" w:rsidRPr="00000000" w14:paraId="0000001D">
            <w:pPr>
              <w:spacing w:after="120" w:before="120" w:line="240" w:lineRule="auto"/>
              <w:ind w:left="743" w:firstLine="0"/>
              <w:rPr/>
            </w:pPr>
            <w:r w:rsidDel="00000000" w:rsidR="00000000" w:rsidRPr="00000000">
              <w:rPr>
                <w:rtl w:val="0"/>
              </w:rPr>
              <w:t xml:space="preserve">Facility &lt; 500K</w:t>
            </w:r>
          </w:p>
          <w:p w:rsidR="00000000" w:rsidDel="00000000" w:rsidP="00000000" w:rsidRDefault="00000000" w:rsidRPr="00000000" w14:paraId="0000001E">
            <w:pPr>
              <w:spacing w:after="120" w:before="120" w:line="240" w:lineRule="auto"/>
              <w:ind w:left="34" w:firstLine="0"/>
              <w:rPr/>
            </w:pPr>
            <w:r w:rsidDel="00000000" w:rsidR="00000000" w:rsidRPr="00000000">
              <w:rPr>
                <w:rtl w:val="0"/>
              </w:rPr>
              <w:t xml:space="preserve">             Facility &gt; 500K</w:t>
            </w:r>
          </w:p>
          <w:p w:rsidR="00000000" w:rsidDel="00000000" w:rsidP="00000000" w:rsidRDefault="00000000" w:rsidRPr="00000000" w14:paraId="0000001F">
            <w:pPr>
              <w:spacing w:after="120" w:before="120" w:line="240" w:lineRule="auto"/>
              <w:ind w:left="720" w:firstLine="0"/>
              <w:rPr/>
            </w:pPr>
            <w:r w:rsidDel="00000000" w:rsidR="00000000" w:rsidRPr="00000000">
              <w:rPr>
                <w:rtl w:val="0"/>
              </w:rPr>
              <w:t xml:space="preserve">Commercial properties – fee to be advised on extension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0">
            <w:pPr>
              <w:spacing w:after="120" w:before="120" w:line="240" w:lineRule="auto"/>
              <w:jc w:val="center"/>
              <w:rPr/>
            </w:pPr>
            <w:r w:rsidDel="00000000" w:rsidR="00000000" w:rsidRPr="00000000">
              <w:rPr>
                <w:rtl w:val="0"/>
              </w:rPr>
            </w:r>
          </w:p>
          <w:p w:rsidR="00000000" w:rsidDel="00000000" w:rsidP="00000000" w:rsidRDefault="00000000" w:rsidRPr="00000000" w14:paraId="00000021">
            <w:pPr>
              <w:spacing w:after="120" w:before="120" w:line="240" w:lineRule="auto"/>
              <w:jc w:val="center"/>
              <w:rPr/>
            </w:pPr>
            <w:r w:rsidDel="00000000" w:rsidR="00000000" w:rsidRPr="00000000">
              <w:rPr>
                <w:rtl w:val="0"/>
              </w:rPr>
              <w:t xml:space="preserve">£100 pa</w:t>
            </w:r>
          </w:p>
          <w:p w:rsidR="00000000" w:rsidDel="00000000" w:rsidP="00000000" w:rsidRDefault="00000000" w:rsidRPr="00000000" w14:paraId="00000022">
            <w:pPr>
              <w:spacing w:after="120" w:before="120" w:line="240" w:lineRule="auto"/>
              <w:jc w:val="center"/>
              <w:rPr/>
            </w:pPr>
            <w:r w:rsidDel="00000000" w:rsidR="00000000" w:rsidRPr="00000000">
              <w:rPr>
                <w:rtl w:val="0"/>
              </w:rPr>
              <w:t xml:space="preserve">£225 pa</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3">
            <w:pPr>
              <w:numPr>
                <w:ilvl w:val="0"/>
                <w:numId w:val="1"/>
              </w:numPr>
              <w:spacing w:after="120" w:before="120" w:line="240" w:lineRule="auto"/>
              <w:ind w:left="720" w:hanging="360"/>
              <w:rPr/>
            </w:pPr>
            <w:r w:rsidDel="00000000" w:rsidR="00000000" w:rsidRPr="00000000">
              <w:rPr>
                <w:rtl w:val="0"/>
              </w:rPr>
              <w:t xml:space="preserve">On each request to drawdown funds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4">
            <w:pPr>
              <w:spacing w:after="120" w:before="120" w:line="240" w:lineRule="auto"/>
              <w:jc w:val="center"/>
              <w:rPr/>
            </w:pPr>
            <w:r w:rsidDel="00000000" w:rsidR="00000000" w:rsidRPr="00000000">
              <w:rPr>
                <w:rtl w:val="0"/>
              </w:rPr>
              <w:t xml:space="preserve">£250</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5">
            <w:pPr>
              <w:numPr>
                <w:ilvl w:val="0"/>
                <w:numId w:val="1"/>
              </w:numPr>
              <w:spacing w:after="120" w:before="120" w:line="240" w:lineRule="auto"/>
              <w:ind w:left="720" w:hanging="360"/>
              <w:rPr/>
            </w:pPr>
            <w:r w:rsidDel="00000000" w:rsidR="00000000" w:rsidRPr="00000000">
              <w:rPr>
                <w:rtl w:val="0"/>
              </w:rPr>
              <w:t xml:space="preserve">Fee for each Breach of Facility Agreement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6">
            <w:pPr>
              <w:spacing w:after="120" w:before="120" w:line="240" w:lineRule="auto"/>
              <w:jc w:val="center"/>
              <w:rPr/>
            </w:pPr>
            <w:r w:rsidDel="00000000" w:rsidR="00000000" w:rsidRPr="00000000">
              <w:rPr>
                <w:rtl w:val="0"/>
              </w:rPr>
              <w:t xml:space="preserve">£100</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7">
            <w:pPr>
              <w:numPr>
                <w:ilvl w:val="0"/>
                <w:numId w:val="1"/>
              </w:numPr>
              <w:spacing w:after="120" w:before="120" w:line="240" w:lineRule="auto"/>
              <w:ind w:left="720" w:hanging="360"/>
              <w:rPr/>
            </w:pPr>
            <w:r w:rsidDel="00000000" w:rsidR="00000000" w:rsidRPr="00000000">
              <w:rPr>
                <w:rtl w:val="0"/>
              </w:rPr>
              <w:t xml:space="preserve">Consent to Further Charge Fee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8">
            <w:pPr>
              <w:spacing w:after="120" w:before="120" w:line="240" w:lineRule="auto"/>
              <w:jc w:val="center"/>
              <w:rPr/>
            </w:pPr>
            <w:r w:rsidDel="00000000" w:rsidR="00000000" w:rsidRPr="00000000">
              <w:rPr>
                <w:rtl w:val="0"/>
              </w:rPr>
              <w:t xml:space="preserve">£50</w:t>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9">
            <w:pPr>
              <w:numPr>
                <w:ilvl w:val="0"/>
                <w:numId w:val="1"/>
              </w:numPr>
              <w:spacing w:after="120" w:before="120" w:line="240" w:lineRule="auto"/>
              <w:ind w:left="720" w:hanging="360"/>
              <w:rPr/>
            </w:pPr>
            <w:r w:rsidDel="00000000" w:rsidR="00000000" w:rsidRPr="00000000">
              <w:rPr>
                <w:rtl w:val="0"/>
              </w:rPr>
              <w:t xml:space="preserve">Conditional Fee (when applicable)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A">
            <w:pPr>
              <w:spacing w:after="120" w:before="120" w:line="240" w:lineRule="auto"/>
              <w:jc w:val="center"/>
              <w:rPr/>
            </w:pPr>
            <w:r w:rsidDel="00000000" w:rsidR="00000000" w:rsidRPr="00000000">
              <w:rPr>
                <w:rtl w:val="0"/>
              </w:rPr>
              <w:t xml:space="preserve">1% of the Facility Amount</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B">
            <w:pPr>
              <w:numPr>
                <w:ilvl w:val="0"/>
                <w:numId w:val="1"/>
              </w:numPr>
              <w:spacing w:after="120" w:before="120" w:line="240" w:lineRule="auto"/>
              <w:ind w:left="720" w:hanging="360"/>
              <w:rPr/>
            </w:pPr>
            <w:r w:rsidDel="00000000" w:rsidR="00000000" w:rsidRPr="00000000">
              <w:rPr>
                <w:rtl w:val="0"/>
              </w:rPr>
              <w:t xml:space="preserve">Exit Fee (when applicable)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C">
            <w:pPr>
              <w:spacing w:after="120" w:before="120" w:line="240" w:lineRule="auto"/>
              <w:jc w:val="center"/>
              <w:rPr/>
            </w:pPr>
            <w:r w:rsidDel="00000000" w:rsidR="00000000" w:rsidRPr="00000000">
              <w:rPr>
                <w:rtl w:val="0"/>
              </w:rPr>
              <w:t xml:space="preserve">1% of the Facility Amount</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D">
            <w:pPr>
              <w:numPr>
                <w:ilvl w:val="0"/>
                <w:numId w:val="1"/>
              </w:numPr>
              <w:spacing w:after="120" w:before="120" w:line="240" w:lineRule="auto"/>
              <w:ind w:left="720" w:hanging="360"/>
              <w:rPr/>
            </w:pPr>
            <w:r w:rsidDel="00000000" w:rsidR="00000000" w:rsidRPr="00000000">
              <w:rPr>
                <w:rtl w:val="0"/>
              </w:rPr>
              <w:t xml:space="preserve">Expiry Fee (when applicable)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E">
            <w:pPr>
              <w:spacing w:after="120" w:before="120" w:line="240" w:lineRule="auto"/>
              <w:jc w:val="center"/>
              <w:rPr/>
            </w:pPr>
            <w:r w:rsidDel="00000000" w:rsidR="00000000" w:rsidRPr="00000000">
              <w:rPr>
                <w:rtl w:val="0"/>
              </w:rPr>
              <w:t xml:space="preserve">2% of the Facility Amount</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F">
            <w:pPr>
              <w:numPr>
                <w:ilvl w:val="0"/>
                <w:numId w:val="1"/>
              </w:numPr>
              <w:spacing w:after="120" w:before="120" w:line="240" w:lineRule="auto"/>
              <w:ind w:left="720" w:hanging="360"/>
              <w:rPr/>
            </w:pPr>
            <w:r w:rsidDel="00000000" w:rsidR="00000000" w:rsidRPr="00000000">
              <w:rPr>
                <w:rtl w:val="0"/>
              </w:rPr>
              <w:t xml:space="preserve">Extension Fee (when applicable)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0">
            <w:pPr>
              <w:spacing w:after="120" w:before="120" w:line="240" w:lineRule="auto"/>
              <w:jc w:val="center"/>
              <w:rPr/>
            </w:pPr>
            <w:r w:rsidDel="00000000" w:rsidR="00000000" w:rsidRPr="00000000">
              <w:rPr>
                <w:rtl w:val="0"/>
              </w:rPr>
              <w:t xml:space="preserve">2% of the Facility Amount</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1">
            <w:pPr>
              <w:numPr>
                <w:ilvl w:val="0"/>
                <w:numId w:val="1"/>
              </w:numPr>
              <w:spacing w:after="120" w:before="120" w:line="240" w:lineRule="auto"/>
              <w:ind w:left="720" w:hanging="360"/>
              <w:rPr/>
            </w:pPr>
            <w:r w:rsidDel="00000000" w:rsidR="00000000" w:rsidRPr="00000000">
              <w:rPr>
                <w:rtl w:val="0"/>
              </w:rPr>
              <w:t xml:space="preserve">Partial Release Fee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2">
            <w:pPr>
              <w:spacing w:after="120" w:before="120" w:line="240" w:lineRule="auto"/>
              <w:jc w:val="center"/>
              <w:rPr/>
            </w:pPr>
            <w:r w:rsidDel="00000000" w:rsidR="00000000" w:rsidRPr="00000000">
              <w:rPr>
                <w:rtl w:val="0"/>
              </w:rPr>
              <w:t xml:space="preserve">£100</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3">
            <w:pPr>
              <w:numPr>
                <w:ilvl w:val="0"/>
                <w:numId w:val="1"/>
              </w:numPr>
              <w:spacing w:after="120" w:before="120" w:line="240" w:lineRule="auto"/>
              <w:ind w:left="720" w:hanging="360"/>
              <w:rPr/>
            </w:pPr>
            <w:r w:rsidDel="00000000" w:rsidR="00000000" w:rsidRPr="00000000">
              <w:rPr>
                <w:rtl w:val="0"/>
              </w:rPr>
              <w:t xml:space="preserve">Security Release fee per DS1/DS3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4">
            <w:pPr>
              <w:spacing w:after="120" w:before="120" w:line="240" w:lineRule="auto"/>
              <w:jc w:val="center"/>
              <w:rPr/>
            </w:pPr>
            <w:r w:rsidDel="00000000" w:rsidR="00000000" w:rsidRPr="00000000">
              <w:rPr>
                <w:rtl w:val="0"/>
              </w:rPr>
              <w:t xml:space="preserve">£325 plus VAT</w:t>
            </w:r>
          </w:p>
          <w:p w:rsidR="00000000" w:rsidDel="00000000" w:rsidP="00000000" w:rsidRDefault="00000000" w:rsidRPr="00000000" w14:paraId="00000035">
            <w:pPr>
              <w:spacing w:after="120" w:before="120" w:line="240" w:lineRule="auto"/>
              <w:jc w:val="center"/>
              <w:rPr/>
            </w:pPr>
            <w:r w:rsidDel="00000000" w:rsidR="00000000" w:rsidRPr="00000000">
              <w:rPr>
                <w:rtl w:val="0"/>
              </w:rPr>
              <w:t xml:space="preserve">(Scotland fees are £275 plus VAT plus a non-vatable £80)</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6">
            <w:pPr>
              <w:numPr>
                <w:ilvl w:val="0"/>
                <w:numId w:val="1"/>
              </w:numPr>
              <w:spacing w:after="120" w:before="120" w:line="240" w:lineRule="auto"/>
              <w:ind w:left="720" w:hanging="360"/>
              <w:rPr/>
            </w:pPr>
            <w:r w:rsidDel="00000000" w:rsidR="00000000" w:rsidRPr="00000000">
              <w:rPr>
                <w:rtl w:val="0"/>
              </w:rPr>
              <w:t xml:space="preserve">Deed of Release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7">
            <w:pPr>
              <w:spacing w:after="120" w:before="120" w:line="240" w:lineRule="auto"/>
              <w:jc w:val="center"/>
              <w:rPr/>
            </w:pPr>
            <w:r w:rsidDel="00000000" w:rsidR="00000000" w:rsidRPr="00000000">
              <w:rPr>
                <w:rtl w:val="0"/>
              </w:rPr>
              <w:t xml:space="preserve">£250 plus VAT</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8">
            <w:pPr>
              <w:numPr>
                <w:ilvl w:val="0"/>
                <w:numId w:val="1"/>
              </w:numPr>
              <w:spacing w:after="120" w:before="120" w:line="240" w:lineRule="auto"/>
              <w:ind w:left="720" w:hanging="360"/>
              <w:rPr/>
            </w:pPr>
            <w:r w:rsidDel="00000000" w:rsidR="00000000" w:rsidRPr="00000000">
              <w:rPr>
                <w:rtl w:val="0"/>
              </w:rPr>
              <w:t xml:space="preserve">Letter of Non Crystallisation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9">
            <w:pPr>
              <w:spacing w:after="120" w:before="120" w:line="240" w:lineRule="auto"/>
              <w:jc w:val="center"/>
              <w:rPr/>
            </w:pPr>
            <w:r w:rsidDel="00000000" w:rsidR="00000000" w:rsidRPr="00000000">
              <w:rPr>
                <w:rtl w:val="0"/>
              </w:rPr>
              <w:t xml:space="preserve">£95 plus VAT</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A">
            <w:pPr>
              <w:numPr>
                <w:ilvl w:val="0"/>
                <w:numId w:val="1"/>
              </w:numPr>
              <w:spacing w:after="120" w:before="120" w:line="240" w:lineRule="auto"/>
              <w:ind w:left="720" w:hanging="360"/>
              <w:rPr/>
            </w:pPr>
            <w:r w:rsidDel="00000000" w:rsidR="00000000" w:rsidRPr="00000000">
              <w:rPr>
                <w:rtl w:val="0"/>
              </w:rPr>
              <w:t xml:space="preserve">Solicitors bank fees for Redemption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B">
            <w:pPr>
              <w:spacing w:after="120" w:before="120" w:line="240" w:lineRule="auto"/>
              <w:jc w:val="center"/>
              <w:rPr/>
            </w:pPr>
            <w:r w:rsidDel="00000000" w:rsidR="00000000" w:rsidRPr="00000000">
              <w:rPr>
                <w:rtl w:val="0"/>
              </w:rPr>
              <w:t xml:space="preserve">£42</w:t>
            </w:r>
          </w:p>
        </w:tc>
      </w:tr>
    </w:tbl>
    <w:p w:rsidR="00000000" w:rsidDel="00000000" w:rsidP="00000000" w:rsidRDefault="00000000" w:rsidRPr="00000000" w14:paraId="0000003C">
      <w:pPr>
        <w:jc w:val="both"/>
        <w:rPr>
          <w:b w:val="1"/>
          <w:bCs w:val="1"/>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b w:val="1"/>
          <w:bCs w:val="1"/>
          <w:rtl w:val="0"/>
        </w:rPr>
        <w:t xml:space="preserve">Default / Arrears and Recovery Charges</w:t>
      </w: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Note: If at any time you make a payment over and above your monthly payment, we will use this extra payment to pay any costs, expenses, or fees you may have on your account with us, then to pay any interest arrears and then to reduce the Loan Balance. </w:t>
      </w:r>
    </w:p>
    <w:p w:rsidR="00000000" w:rsidDel="00000000" w:rsidP="00000000" w:rsidRDefault="00000000" w:rsidRPr="00000000" w14:paraId="0000003F">
      <w:pPr>
        <w:jc w:val="both"/>
        <w:rPr/>
      </w:pPr>
      <w:r w:rsidDel="00000000" w:rsidR="00000000" w:rsidRPr="00000000">
        <w:rPr>
          <w:rtl w:val="0"/>
        </w:rPr>
        <w:t xml:space="preserve">The following charges will apply and be debited to your account:</w:t>
      </w:r>
    </w:p>
    <w:tbl>
      <w:tblPr>
        <w:tblStyle w:val="Table2"/>
        <w:tblW w:w="90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1705"/>
        <w:tblGridChange w:id="0">
          <w:tblGrid>
            <w:gridCol w:w="7366"/>
            <w:gridCol w:w="1705"/>
          </w:tblGrid>
        </w:tblGridChange>
      </w:tblGrid>
      <w:tr>
        <w:trPr>
          <w:cantSplit w:val="0"/>
          <w:trHeight w:val="680"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40">
            <w:pPr>
              <w:numPr>
                <w:ilvl w:val="0"/>
                <w:numId w:val="2"/>
              </w:numPr>
              <w:tabs>
                <w:tab w:val="left" w:leader="none" w:pos="0"/>
                <w:tab w:val="center" w:leader="none" w:pos="3600"/>
                <w:tab w:val="right" w:leader="none" w:pos="7920"/>
              </w:tabs>
              <w:spacing w:after="120" w:before="120" w:line="240" w:lineRule="auto"/>
              <w:ind w:left="720" w:hanging="360"/>
              <w:rPr/>
            </w:pPr>
            <w:r w:rsidDel="00000000" w:rsidR="00000000" w:rsidRPr="00000000">
              <w:rPr>
                <w:color w:val="000000"/>
                <w:rtl w:val="0"/>
              </w:rPr>
              <w:t xml:space="preserve">Missed Payment/Returned Cheque/Standing Order Refusal</w:t>
            </w: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41">
            <w:pPr>
              <w:tabs>
                <w:tab w:val="left" w:leader="none" w:pos="720"/>
                <w:tab w:val="center" w:leader="none" w:pos="4320"/>
                <w:tab w:val="right" w:leader="none" w:pos="8640"/>
              </w:tabs>
              <w:spacing w:after="120" w:before="120" w:line="240" w:lineRule="auto"/>
              <w:jc w:val="center"/>
              <w:rPr>
                <w:color w:val="000000"/>
              </w:rPr>
            </w:pPr>
            <w:r w:rsidDel="00000000" w:rsidR="00000000" w:rsidRPr="00000000">
              <w:rPr>
                <w:color w:val="000000"/>
                <w:rtl w:val="0"/>
              </w:rPr>
              <w:t xml:space="preserve">£100</w:t>
            </w:r>
          </w:p>
        </w:tc>
      </w:tr>
      <w:tr>
        <w:trPr>
          <w:cantSplit w:val="0"/>
          <w:trHeight w:val="680"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42">
            <w:pPr>
              <w:numPr>
                <w:ilvl w:val="0"/>
                <w:numId w:val="2"/>
              </w:numPr>
              <w:spacing w:after="120" w:before="120" w:line="240" w:lineRule="auto"/>
              <w:ind w:left="720" w:hanging="360"/>
              <w:rPr/>
            </w:pPr>
            <w:r w:rsidDel="00000000" w:rsidR="00000000" w:rsidRPr="00000000">
              <w:rPr>
                <w:color w:val="000000"/>
                <w:rtl w:val="0"/>
              </w:rPr>
              <w:t xml:space="preserve">On each and every occasion of our writing to you in connection with any arrears of interest, fees or repayment of capital</w:t>
            </w: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43">
            <w:pPr>
              <w:spacing w:after="120" w:before="120" w:line="240" w:lineRule="auto"/>
              <w:jc w:val="center"/>
              <w:rPr>
                <w:color w:val="000000"/>
              </w:rPr>
            </w:pPr>
            <w:r w:rsidDel="00000000" w:rsidR="00000000" w:rsidRPr="00000000">
              <w:rPr>
                <w:color w:val="000000"/>
                <w:rtl w:val="0"/>
              </w:rPr>
              <w:t xml:space="preserve">£100</w:t>
            </w:r>
          </w:p>
        </w:tc>
      </w:tr>
      <w:tr>
        <w:trPr>
          <w:cantSplit w:val="0"/>
          <w:trHeight w:val="680"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44">
            <w:pPr>
              <w:numPr>
                <w:ilvl w:val="0"/>
                <w:numId w:val="2"/>
              </w:numPr>
              <w:spacing w:after="120" w:before="120" w:line="240" w:lineRule="auto"/>
              <w:ind w:left="720" w:hanging="360"/>
              <w:rPr/>
            </w:pPr>
            <w:r w:rsidDel="00000000" w:rsidR="00000000" w:rsidRPr="00000000">
              <w:rPr>
                <w:color w:val="000000"/>
                <w:rtl w:val="0"/>
              </w:rPr>
              <w:t xml:space="preserve">On each and every occasion of our telephoning/emailing you in connection with any</w:t>
            </w:r>
            <w:r w:rsidDel="00000000" w:rsidR="00000000" w:rsidRPr="00000000">
              <w:rPr>
                <w:rtl w:val="0"/>
              </w:rPr>
              <w:t xml:space="preserve"> Default/A</w:t>
            </w:r>
            <w:r w:rsidDel="00000000" w:rsidR="00000000" w:rsidRPr="00000000">
              <w:rPr>
                <w:color w:val="000000"/>
                <w:rtl w:val="0"/>
              </w:rPr>
              <w:t xml:space="preserve">rrears</w:t>
            </w:r>
            <w:r w:rsidDel="00000000" w:rsidR="00000000" w:rsidRPr="00000000">
              <w:rPr>
                <w:rtl w:val="0"/>
              </w:rPr>
              <w:t xml:space="preserve"> and</w:t>
            </w:r>
            <w:r w:rsidDel="00000000" w:rsidR="00000000" w:rsidRPr="00000000">
              <w:rPr>
                <w:color w:val="000000"/>
                <w:rtl w:val="0"/>
              </w:rPr>
              <w:t xml:space="preserve"> o</w:t>
            </w:r>
            <w:r w:rsidDel="00000000" w:rsidR="00000000" w:rsidRPr="00000000">
              <w:rPr>
                <w:rtl w:val="0"/>
              </w:rPr>
              <w:t xml:space="preserve">r arrears of</w:t>
            </w:r>
            <w:r w:rsidDel="00000000" w:rsidR="00000000" w:rsidRPr="00000000">
              <w:rPr>
                <w:color w:val="000000"/>
                <w:rtl w:val="0"/>
              </w:rPr>
              <w:t xml:space="preserve"> interest, fees or repayment of capita</w:t>
            </w:r>
            <w:r w:rsidDel="00000000" w:rsidR="00000000" w:rsidRPr="00000000">
              <w:rPr>
                <w:rtl w:val="0"/>
              </w:rPr>
              <w:t xml:space="preserve">l</w:t>
            </w:r>
          </w:p>
        </w:tc>
        <w:tc>
          <w:tcPr>
            <w:shd w:fill="auto" w:val="clear"/>
            <w:tcMar>
              <w:top w:w="0.0" w:type="dxa"/>
              <w:left w:w="108.0" w:type="dxa"/>
              <w:bottom w:w="0.0" w:type="dxa"/>
              <w:right w:w="108.0" w:type="dxa"/>
            </w:tcMar>
            <w:vAlign w:val="center"/>
          </w:tcPr>
          <w:p w:rsidR="00000000" w:rsidDel="00000000" w:rsidP="00000000" w:rsidRDefault="00000000" w:rsidRPr="00000000" w14:paraId="00000045">
            <w:pPr>
              <w:spacing w:after="120" w:before="120" w:line="240" w:lineRule="auto"/>
              <w:jc w:val="center"/>
              <w:rPr>
                <w:color w:val="000000"/>
              </w:rPr>
            </w:pPr>
            <w:r w:rsidDel="00000000" w:rsidR="00000000" w:rsidRPr="00000000">
              <w:rPr>
                <w:color w:val="000000"/>
                <w:rtl w:val="0"/>
              </w:rPr>
              <w:t xml:space="preserve">£75</w:t>
            </w:r>
          </w:p>
        </w:tc>
      </w:tr>
      <w:tr>
        <w:trPr>
          <w:cantSplit w:val="0"/>
          <w:trHeight w:val="680"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46">
            <w:pPr>
              <w:numPr>
                <w:ilvl w:val="0"/>
                <w:numId w:val="2"/>
              </w:numPr>
              <w:spacing w:after="120" w:before="120" w:line="240" w:lineRule="auto"/>
              <w:ind w:left="720" w:hanging="360"/>
              <w:rPr/>
            </w:pPr>
            <w:r w:rsidDel="00000000" w:rsidR="00000000" w:rsidRPr="00000000">
              <w:rPr>
                <w:color w:val="000000"/>
                <w:rtl w:val="0"/>
              </w:rPr>
              <w:t xml:space="preserve">Letters to agents or solicitors acting (if the Facility is in default)</w:t>
            </w: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47">
            <w:pPr>
              <w:spacing w:after="120" w:before="120" w:line="240" w:lineRule="auto"/>
              <w:jc w:val="center"/>
              <w:rPr>
                <w:color w:val="000000"/>
              </w:rPr>
            </w:pPr>
            <w:r w:rsidDel="00000000" w:rsidR="00000000" w:rsidRPr="00000000">
              <w:rPr>
                <w:color w:val="000000"/>
                <w:rtl w:val="0"/>
              </w:rPr>
              <w:t xml:space="preserve">£100</w:t>
            </w:r>
          </w:p>
        </w:tc>
      </w:tr>
      <w:tr>
        <w:trPr>
          <w:cantSplit w:val="0"/>
          <w:trHeight w:val="680"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48">
            <w:pPr>
              <w:numPr>
                <w:ilvl w:val="0"/>
                <w:numId w:val="2"/>
              </w:numPr>
              <w:spacing w:after="120" w:before="120" w:line="240" w:lineRule="auto"/>
              <w:ind w:left="720" w:hanging="360"/>
              <w:rPr/>
            </w:pPr>
            <w:r w:rsidDel="00000000" w:rsidR="00000000" w:rsidRPr="00000000">
              <w:rPr>
                <w:color w:val="000000"/>
                <w:rtl w:val="0"/>
              </w:rPr>
              <w:t xml:space="preserve">Instruction to our solicitor and/or receiver in connection with the Facility</w:t>
            </w: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49">
            <w:pPr>
              <w:spacing w:after="120" w:before="120" w:line="240" w:lineRule="auto"/>
              <w:jc w:val="center"/>
              <w:rPr>
                <w:color w:val="000000"/>
              </w:rPr>
            </w:pPr>
            <w:r w:rsidDel="00000000" w:rsidR="00000000" w:rsidRPr="00000000">
              <w:rPr>
                <w:color w:val="000000"/>
                <w:rtl w:val="0"/>
              </w:rPr>
              <w:t xml:space="preserve">£275</w:t>
            </w:r>
          </w:p>
        </w:tc>
      </w:tr>
      <w:tr>
        <w:trPr>
          <w:cantSplit w:val="0"/>
          <w:trHeight w:val="680"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4A">
            <w:pPr>
              <w:numPr>
                <w:ilvl w:val="0"/>
                <w:numId w:val="2"/>
              </w:numPr>
              <w:spacing w:after="120" w:before="120" w:line="240" w:lineRule="auto"/>
              <w:ind w:left="720" w:hanging="360"/>
              <w:rPr/>
            </w:pPr>
            <w:r w:rsidDel="00000000" w:rsidR="00000000" w:rsidRPr="00000000">
              <w:rPr>
                <w:color w:val="000000"/>
                <w:rtl w:val="0"/>
              </w:rPr>
              <w:t xml:space="preserve">Instruction of Enquiry agents</w:t>
            </w: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4B">
            <w:pPr>
              <w:spacing w:after="120" w:before="120" w:line="240" w:lineRule="auto"/>
              <w:jc w:val="center"/>
              <w:rPr>
                <w:color w:val="000000"/>
              </w:rPr>
            </w:pPr>
            <w:r w:rsidDel="00000000" w:rsidR="00000000" w:rsidRPr="00000000">
              <w:rPr>
                <w:color w:val="000000"/>
                <w:rtl w:val="0"/>
              </w:rPr>
              <w:t xml:space="preserve">£125</w:t>
            </w:r>
          </w:p>
        </w:tc>
      </w:tr>
      <w:tr>
        <w:trPr>
          <w:cantSplit w:val="0"/>
          <w:trHeight w:val="680"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4C">
            <w:pPr>
              <w:numPr>
                <w:ilvl w:val="0"/>
                <w:numId w:val="2"/>
              </w:numPr>
              <w:spacing w:after="120" w:before="120" w:line="240" w:lineRule="auto"/>
              <w:ind w:left="720" w:hanging="360"/>
              <w:rPr/>
            </w:pPr>
            <w:r w:rsidDel="00000000" w:rsidR="00000000" w:rsidRPr="00000000">
              <w:rPr>
                <w:color w:val="000000"/>
                <w:rtl w:val="0"/>
              </w:rPr>
              <w:t xml:space="preserve">Instruction to our agents to market a property</w:t>
            </w: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4D">
            <w:pPr>
              <w:spacing w:after="120" w:before="120" w:line="240" w:lineRule="auto"/>
              <w:jc w:val="center"/>
              <w:rPr>
                <w:color w:val="000000"/>
              </w:rPr>
            </w:pPr>
            <w:r w:rsidDel="00000000" w:rsidR="00000000" w:rsidRPr="00000000">
              <w:rPr>
                <w:color w:val="000000"/>
                <w:rtl w:val="0"/>
              </w:rPr>
              <w:t xml:space="preserve">£225</w:t>
            </w:r>
          </w:p>
        </w:tc>
      </w:tr>
      <w:tr>
        <w:trPr>
          <w:cantSplit w:val="0"/>
          <w:trHeight w:val="680"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4E">
            <w:pPr>
              <w:numPr>
                <w:ilvl w:val="0"/>
                <w:numId w:val="2"/>
              </w:numPr>
              <w:spacing w:after="120" w:before="120" w:line="240" w:lineRule="auto"/>
              <w:ind w:left="720" w:hanging="360"/>
              <w:rPr/>
            </w:pPr>
            <w:r w:rsidDel="00000000" w:rsidR="00000000" w:rsidRPr="00000000">
              <w:rPr>
                <w:color w:val="000000"/>
                <w:rtl w:val="0"/>
              </w:rPr>
              <w:t xml:space="preserve">Failure to either put in place or renew insurance on the property(ies) and our arranging insurance in addition to any premium and/or costs paid by us.</w:t>
            </w: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4F">
            <w:pPr>
              <w:spacing w:after="120" w:before="120" w:line="240" w:lineRule="auto"/>
              <w:jc w:val="center"/>
              <w:rPr>
                <w:color w:val="000000"/>
              </w:rPr>
            </w:pPr>
            <w:r w:rsidDel="00000000" w:rsidR="00000000" w:rsidRPr="00000000">
              <w:rPr>
                <w:color w:val="000000"/>
                <w:rtl w:val="0"/>
              </w:rPr>
              <w:t xml:space="preserve">£125</w:t>
            </w:r>
          </w:p>
        </w:tc>
      </w:tr>
      <w:tr>
        <w:trPr>
          <w:cantSplit w:val="0"/>
          <w:trHeight w:val="680"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50">
            <w:pPr>
              <w:numPr>
                <w:ilvl w:val="0"/>
                <w:numId w:val="2"/>
              </w:numPr>
              <w:spacing w:after="120" w:before="120" w:line="240" w:lineRule="auto"/>
              <w:ind w:left="720" w:hanging="360"/>
              <w:rPr/>
            </w:pPr>
            <w:r w:rsidDel="00000000" w:rsidR="00000000" w:rsidRPr="00000000">
              <w:rPr>
                <w:color w:val="000000"/>
                <w:rtl w:val="0"/>
              </w:rPr>
              <w:t xml:space="preserve">Communications and meetings with solicitors, valuers and/or agents following default by the borrower. </w:t>
            </w: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51">
            <w:pPr>
              <w:spacing w:after="120" w:before="120" w:line="240" w:lineRule="auto"/>
              <w:jc w:val="center"/>
              <w:rPr>
                <w:color w:val="000000"/>
              </w:rPr>
            </w:pPr>
            <w:r w:rsidDel="00000000" w:rsidR="00000000" w:rsidRPr="00000000">
              <w:rPr>
                <w:color w:val="000000"/>
                <w:rtl w:val="0"/>
              </w:rPr>
              <w:t xml:space="preserve">At cost</w:t>
            </w:r>
          </w:p>
        </w:tc>
      </w:tr>
      <w:tr>
        <w:trPr>
          <w:cantSplit w:val="0"/>
          <w:trHeight w:val="680"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52">
            <w:pPr>
              <w:numPr>
                <w:ilvl w:val="0"/>
                <w:numId w:val="2"/>
              </w:numPr>
              <w:spacing w:after="120" w:before="120" w:line="240" w:lineRule="auto"/>
              <w:ind w:left="720" w:hanging="360"/>
              <w:rPr/>
            </w:pPr>
            <w:r w:rsidDel="00000000" w:rsidR="00000000" w:rsidRPr="00000000">
              <w:rPr>
                <w:color w:val="000000"/>
                <w:rtl w:val="0"/>
              </w:rPr>
              <w:t xml:space="preserve">Recoveries Portfolio Management Fee</w:t>
            </w: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53">
            <w:pPr>
              <w:spacing w:after="120" w:before="120" w:line="240" w:lineRule="auto"/>
              <w:jc w:val="center"/>
              <w:rPr>
                <w:color w:val="000000"/>
              </w:rPr>
            </w:pPr>
            <w:r w:rsidDel="00000000" w:rsidR="00000000" w:rsidRPr="00000000">
              <w:rPr>
                <w:color w:val="000000"/>
                <w:rtl w:val="0"/>
              </w:rPr>
              <w:t xml:space="preserve">£21 per hour</w:t>
            </w:r>
          </w:p>
        </w:tc>
      </w:tr>
      <w:tr>
        <w:trPr>
          <w:cantSplit w:val="0"/>
          <w:trHeight w:val="680"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54">
            <w:pPr>
              <w:numPr>
                <w:ilvl w:val="0"/>
                <w:numId w:val="2"/>
              </w:numPr>
              <w:spacing w:after="120" w:before="120" w:line="240" w:lineRule="auto"/>
              <w:ind w:left="720" w:hanging="360"/>
              <w:rPr/>
            </w:pPr>
            <w:r w:rsidDel="00000000" w:rsidR="00000000" w:rsidRPr="00000000">
              <w:rPr>
                <w:color w:val="000000"/>
                <w:rtl w:val="0"/>
              </w:rPr>
              <w:t xml:space="preserve">Collections &amp; Recoveries Home Visit Fee</w:t>
            </w: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55">
            <w:pPr>
              <w:spacing w:after="120" w:before="120" w:line="240" w:lineRule="auto"/>
              <w:jc w:val="center"/>
              <w:rPr>
                <w:color w:val="000000"/>
              </w:rPr>
            </w:pPr>
            <w:r w:rsidDel="00000000" w:rsidR="00000000" w:rsidRPr="00000000">
              <w:rPr>
                <w:color w:val="000000"/>
                <w:rtl w:val="0"/>
              </w:rPr>
              <w:t xml:space="preserve">At cost</w:t>
            </w:r>
          </w:p>
        </w:tc>
      </w:tr>
      <w:tr>
        <w:trPr>
          <w:cantSplit w:val="0"/>
          <w:trHeight w:val="680"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56">
            <w:pPr>
              <w:numPr>
                <w:ilvl w:val="0"/>
                <w:numId w:val="2"/>
              </w:numPr>
              <w:spacing w:after="120" w:before="120" w:line="240" w:lineRule="auto"/>
              <w:ind w:left="720" w:hanging="360"/>
              <w:rPr/>
            </w:pPr>
            <w:r w:rsidDel="00000000" w:rsidR="00000000" w:rsidRPr="00000000">
              <w:rPr>
                <w:color w:val="000000"/>
                <w:rtl w:val="0"/>
              </w:rPr>
              <w:t xml:space="preserve">Expired Facility Monthly Fee</w:t>
            </w: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57">
            <w:pPr>
              <w:spacing w:after="120" w:before="120" w:line="240" w:lineRule="auto"/>
              <w:jc w:val="center"/>
              <w:rPr>
                <w:color w:val="000000"/>
              </w:rPr>
            </w:pPr>
            <w:r w:rsidDel="00000000" w:rsidR="00000000" w:rsidRPr="00000000">
              <w:rPr>
                <w:color w:val="000000"/>
                <w:rtl w:val="0"/>
              </w:rPr>
              <w:t xml:space="preserve">£75</w:t>
            </w:r>
          </w:p>
        </w:tc>
      </w:tr>
      <w:tr>
        <w:trPr>
          <w:cantSplit w:val="0"/>
          <w:trHeight w:val="680"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58">
            <w:pPr>
              <w:numPr>
                <w:ilvl w:val="0"/>
                <w:numId w:val="2"/>
              </w:numPr>
              <w:spacing w:after="120" w:before="120" w:line="240" w:lineRule="auto"/>
              <w:ind w:left="720" w:hanging="360"/>
              <w:rPr/>
            </w:pPr>
            <w:r w:rsidDel="00000000" w:rsidR="00000000" w:rsidRPr="00000000">
              <w:rPr>
                <w:color w:val="000000"/>
                <w:rtl w:val="0"/>
              </w:rPr>
              <w:t xml:space="preserve">Monthly Default/Repossession Management Fee</w:t>
            </w: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59">
            <w:pPr>
              <w:spacing w:after="120" w:before="120" w:line="240" w:lineRule="auto"/>
              <w:jc w:val="center"/>
              <w:rPr>
                <w:color w:val="000000"/>
              </w:rPr>
            </w:pPr>
            <w:r w:rsidDel="00000000" w:rsidR="00000000" w:rsidRPr="00000000">
              <w:rPr>
                <w:color w:val="000000"/>
                <w:rtl w:val="0"/>
              </w:rPr>
              <w:t xml:space="preserve">£225</w:t>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259" w:lineRule="auto"/>
    </w:pPr>
    <w:rPr>
      <w:b w:val="1"/>
      <w:bCs w:val="1"/>
      <w:sz w:val="22"/>
      <w:szCs w:val="22"/>
    </w:rPr>
  </w:style>
  <w:style w:type="paragraph" w:styleId="Heading2">
    <w:name w:val="heading 2"/>
    <w:basedOn w:val="Normal"/>
    <w:next w:val="Normal"/>
    <w:pPr>
      <w:keepNext w:val="1"/>
      <w:keepLines w:val="1"/>
      <w:spacing w:after="0" w:before="40" w:line="259" w:lineRule="auto"/>
    </w:pPr>
    <w:rPr>
      <w:b w:val="1"/>
      <w:bCs w:val="1"/>
    </w:rPr>
  </w:style>
  <w:style w:type="paragraph" w:styleId="Heading3">
    <w:name w:val="heading 3"/>
    <w:basedOn w:val="Normal"/>
    <w:next w:val="Normal"/>
    <w:pPr>
      <w:keepNext w:val="1"/>
      <w:keepLines w:val="1"/>
      <w:spacing w:after="0" w:before="40" w:line="259"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259"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0" w:before="40" w:line="259"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259" w:lineRule="auto"/>
      <w:ind w:left="1152" w:hanging="1152"/>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1.0" w:type="dxa"/>
        <w:left w:w="10.0" w:type="dxa"/>
        <w:bottom w:w="11.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0x0101007A78B229D1BE44429ABD5996E73EDFCD</vt:lpwstr>
  </property>
</Properties>
</file>